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B3" w:rsidRDefault="004434B3" w:rsidP="004434B3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: EDSA Tariff</w:t>
      </w:r>
    </w:p>
    <w:tbl>
      <w:tblPr>
        <w:tblStyle w:val="GridTable4Accent1"/>
        <w:tblW w:w="9446" w:type="dxa"/>
        <w:tblLook w:val="04A0" w:firstRow="1" w:lastRow="0" w:firstColumn="1" w:lastColumn="0" w:noHBand="0" w:noVBand="1"/>
      </w:tblPr>
      <w:tblGrid>
        <w:gridCol w:w="2200"/>
        <w:gridCol w:w="1125"/>
        <w:gridCol w:w="1065"/>
        <w:gridCol w:w="918"/>
        <w:gridCol w:w="1029"/>
        <w:gridCol w:w="1100"/>
        <w:gridCol w:w="871"/>
        <w:gridCol w:w="1138"/>
      </w:tblGrid>
      <w:tr w:rsidR="004434B3" w:rsidRPr="008F48C5" w:rsidTr="00166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bCs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Tariff Category</w:t>
            </w:r>
          </w:p>
        </w:tc>
        <w:tc>
          <w:tcPr>
            <w:tcW w:w="1125" w:type="dxa"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Units per kWh</w:t>
            </w:r>
          </w:p>
        </w:tc>
        <w:tc>
          <w:tcPr>
            <w:tcW w:w="1065" w:type="dxa"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Le per kWh</w:t>
            </w:r>
          </w:p>
        </w:tc>
        <w:tc>
          <w:tcPr>
            <w:tcW w:w="918" w:type="dxa"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GST 15%</w:t>
            </w:r>
          </w:p>
        </w:tc>
        <w:tc>
          <w:tcPr>
            <w:tcW w:w="1029" w:type="dxa"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 xml:space="preserve">Tariff </w:t>
            </w:r>
            <w:proofErr w:type="spellStart"/>
            <w:r w:rsidRPr="008F48C5">
              <w:rPr>
                <w:rFonts w:ascii="Cambria" w:eastAsia="Times New Roman" w:hAnsi="Cambria" w:cs="Calibri"/>
                <w:color w:val="000000"/>
              </w:rPr>
              <w:t>inc</w:t>
            </w:r>
            <w:proofErr w:type="spellEnd"/>
            <w:r w:rsidRPr="008F48C5">
              <w:rPr>
                <w:rFonts w:ascii="Cambria" w:eastAsia="Times New Roman" w:hAnsi="Cambria" w:cs="Calibri"/>
                <w:color w:val="000000"/>
              </w:rPr>
              <w:t xml:space="preserve"> GST</w:t>
            </w:r>
          </w:p>
        </w:tc>
        <w:tc>
          <w:tcPr>
            <w:tcW w:w="1100" w:type="dxa"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Service Charge</w:t>
            </w:r>
          </w:p>
        </w:tc>
        <w:tc>
          <w:tcPr>
            <w:tcW w:w="871" w:type="dxa"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GST 15%</w:t>
            </w:r>
          </w:p>
        </w:tc>
        <w:tc>
          <w:tcPr>
            <w:tcW w:w="1138" w:type="dxa"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 xml:space="preserve">Service Charge </w:t>
            </w:r>
            <w:proofErr w:type="spellStart"/>
            <w:r w:rsidRPr="008F48C5">
              <w:rPr>
                <w:rFonts w:ascii="Cambria" w:eastAsia="Times New Roman" w:hAnsi="Cambria" w:cs="Calibri"/>
                <w:color w:val="000000"/>
              </w:rPr>
              <w:t>inc</w:t>
            </w:r>
            <w:proofErr w:type="spellEnd"/>
            <w:r w:rsidRPr="008F48C5">
              <w:rPr>
                <w:rFonts w:ascii="Cambria" w:eastAsia="Times New Roman" w:hAnsi="Cambria" w:cs="Calibri"/>
                <w:color w:val="000000"/>
              </w:rPr>
              <w:t xml:space="preserve"> GST</w:t>
            </w:r>
          </w:p>
        </w:tc>
      </w:tr>
      <w:tr w:rsidR="004434B3" w:rsidRPr="008F48C5" w:rsidTr="0016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25" w:type="dxa"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Le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Le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Le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Le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Le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Le</w:t>
            </w:r>
          </w:p>
        </w:tc>
      </w:tr>
      <w:tr w:rsidR="004434B3" w:rsidRPr="008F48C5" w:rsidTr="00166F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T-1 Residential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4434B3" w:rsidRPr="008F48C5" w:rsidTr="0016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Social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0-50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560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84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644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10,500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1,575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12,075</w:t>
            </w:r>
          </w:p>
        </w:tc>
      </w:tr>
      <w:tr w:rsidR="004434B3" w:rsidRPr="008F48C5" w:rsidTr="00166F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High-end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 xml:space="preserve">Above 50 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1,415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212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1,627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10,500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1,575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12,075</w:t>
            </w:r>
          </w:p>
        </w:tc>
      </w:tr>
      <w:tr w:rsidR="004434B3" w:rsidRPr="008F48C5" w:rsidTr="0016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4434B3" w:rsidRPr="008F48C5" w:rsidTr="00166F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T-2 Commercial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All units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1,641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246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1,887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14,115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2,117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16,232</w:t>
            </w:r>
          </w:p>
        </w:tc>
      </w:tr>
      <w:tr w:rsidR="004434B3" w:rsidRPr="008F48C5" w:rsidTr="0016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4434B3" w:rsidRPr="008F48C5" w:rsidTr="00166F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T-3 Institutions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All units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1,526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229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1,755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14,730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2,210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16,940</w:t>
            </w:r>
          </w:p>
        </w:tc>
      </w:tr>
      <w:tr w:rsidR="004434B3" w:rsidRPr="008F48C5" w:rsidTr="0016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4434B3" w:rsidRPr="008F48C5" w:rsidTr="00166F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T-2 Large energy users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All units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1,754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263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2,017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75,630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11,345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86,975</w:t>
            </w:r>
          </w:p>
        </w:tc>
      </w:tr>
      <w:tr w:rsidR="004434B3" w:rsidRPr="008F48C5" w:rsidTr="0016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4434B3" w:rsidRPr="008F48C5" w:rsidTr="00166F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b w:val="0"/>
                <w:color w:val="000000"/>
              </w:rPr>
            </w:pPr>
            <w:r w:rsidRPr="008F48C5">
              <w:rPr>
                <w:rFonts w:ascii="Cambria" w:eastAsia="Times New Roman" w:hAnsi="Cambria" w:cs="Calibri"/>
                <w:b w:val="0"/>
                <w:color w:val="000000"/>
              </w:rPr>
              <w:t>T-2 Welding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All units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1,811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272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2,083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39,570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5,936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45,506</w:t>
            </w:r>
          </w:p>
        </w:tc>
      </w:tr>
      <w:tr w:rsidR="004434B3" w:rsidRPr="008F48C5" w:rsidTr="00166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871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4434B3" w:rsidRPr="008F48C5" w:rsidRDefault="004434B3" w:rsidP="00166F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</w:rPr>
            </w:pPr>
            <w:r w:rsidRPr="008F48C5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</w:tbl>
    <w:p w:rsidR="00634E94" w:rsidRDefault="00634E94">
      <w:bookmarkStart w:id="0" w:name="_GoBack"/>
      <w:bookmarkEnd w:id="0"/>
    </w:p>
    <w:sectPr w:rsidR="00634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B3"/>
    <w:rsid w:val="004434B3"/>
    <w:rsid w:val="0063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B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4434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434B3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B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4434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434B3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Lansana Tarawally</dc:creator>
  <cp:keywords/>
  <dc:description/>
  <cp:lastModifiedBy>Lansana Tarawally</cp:lastModifiedBy>
  <cp:revision>1</cp:revision>
  <dcterms:created xsi:type="dcterms:W3CDTF">2019-09-30T12:20:00Z</dcterms:created>
  <dcterms:modified xsi:type="dcterms:W3CDTF">2019-09-30T12:20:00Z</dcterms:modified>
</cp:coreProperties>
</file>